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391C2" w14:textId="77777777" w:rsidR="00AB3E12" w:rsidRPr="00147893" w:rsidRDefault="00AB3E12" w:rsidP="00AB3E12">
      <w:pPr>
        <w:spacing w:line="360" w:lineRule="auto"/>
        <w:jc w:val="center"/>
        <w:rPr>
          <w:rFonts w:asciiTheme="minorHAnsi" w:eastAsia="Calibri" w:hAnsiTheme="minorHAnsi"/>
          <w:b/>
          <w:sz w:val="22"/>
          <w:szCs w:val="22"/>
          <w:u w:val="single"/>
          <w:lang w:eastAsia="en-US"/>
        </w:rPr>
      </w:pPr>
      <w:r w:rsidRPr="00147893">
        <w:rPr>
          <w:rFonts w:asciiTheme="minorHAnsi" w:eastAsia="Calibri" w:hAnsiTheme="minorHAnsi"/>
          <w:b/>
          <w:sz w:val="22"/>
          <w:szCs w:val="22"/>
          <w:u w:val="single"/>
          <w:lang w:eastAsia="en-US"/>
        </w:rPr>
        <w:t xml:space="preserve">Zał. 2 – do Formularza oferty </w:t>
      </w:r>
    </w:p>
    <w:p w14:paraId="1DEBB365" w14:textId="77777777" w:rsidR="005066E4" w:rsidRPr="00147893" w:rsidRDefault="005066E4" w:rsidP="005066E4">
      <w:pPr>
        <w:spacing w:line="360" w:lineRule="auto"/>
        <w:jc w:val="both"/>
        <w:rPr>
          <w:rFonts w:asciiTheme="minorHAnsi" w:eastAsia="Calibri" w:hAnsiTheme="minorHAnsi"/>
          <w:b/>
          <w:sz w:val="22"/>
          <w:szCs w:val="22"/>
          <w:u w:val="single"/>
          <w:lang w:eastAsia="en-US"/>
        </w:rPr>
      </w:pPr>
    </w:p>
    <w:p w14:paraId="5B24B440" w14:textId="4832500C" w:rsidR="00147893" w:rsidRDefault="00147893" w:rsidP="00147893">
      <w:pPr>
        <w:spacing w:line="360" w:lineRule="auto"/>
        <w:jc w:val="center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Opis przedmiotu zamówienia</w:t>
      </w:r>
    </w:p>
    <w:p w14:paraId="4D35B3CD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</w:p>
    <w:p w14:paraId="2A23DA7C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1 zestawienia asortymentowo-cenowego</w:t>
      </w:r>
    </w:p>
    <w:p w14:paraId="3C819BB7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Tlen medyczny w butlach stalowych poj. 40 l 6,4 m</w:t>
      </w:r>
      <w:r w:rsidRPr="00147893">
        <w:rPr>
          <w:rFonts w:eastAsia="Calibri"/>
          <w:bCs/>
          <w:sz w:val="22"/>
          <w:szCs w:val="22"/>
          <w:vertAlign w:val="superscript"/>
          <w:lang w:eastAsia="en-US"/>
        </w:rPr>
        <w:t>3</w:t>
      </w:r>
      <w:r w:rsidRPr="00147893">
        <w:rPr>
          <w:rFonts w:eastAsia="Calibri"/>
          <w:bCs/>
          <w:sz w:val="22"/>
          <w:szCs w:val="22"/>
          <w:lang w:eastAsia="en-US"/>
        </w:rPr>
        <w:t> ciśnienie 150 bar</w:t>
      </w:r>
    </w:p>
    <w:p w14:paraId="533F9F0F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2 zestawienia asortymentowo-cenowego</w:t>
      </w:r>
    </w:p>
    <w:p w14:paraId="4AC5EBA6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Tlen medyczny w butlach stalowych poj. 10 l 1,6 m</w:t>
      </w:r>
      <w:r w:rsidRPr="00147893">
        <w:rPr>
          <w:rFonts w:eastAsia="Calibri"/>
          <w:bCs/>
          <w:sz w:val="22"/>
          <w:szCs w:val="22"/>
          <w:vertAlign w:val="superscript"/>
          <w:lang w:eastAsia="en-US"/>
        </w:rPr>
        <w:t>3</w:t>
      </w:r>
      <w:r w:rsidRPr="00147893">
        <w:rPr>
          <w:rFonts w:eastAsia="Calibri"/>
          <w:bCs/>
          <w:sz w:val="22"/>
          <w:szCs w:val="22"/>
          <w:lang w:eastAsia="en-US"/>
        </w:rPr>
        <w:t> ciśnienie 150 bar</w:t>
      </w:r>
    </w:p>
    <w:p w14:paraId="25EE1A0B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3 zestawienia asortymentowo-cenowego</w:t>
      </w:r>
    </w:p>
    <w:p w14:paraId="3A69F090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Tlen medyczny w butlach aluminiowych  poj. 5 l 1,08 m</w:t>
      </w:r>
      <w:r w:rsidRPr="00147893">
        <w:rPr>
          <w:rFonts w:eastAsia="Calibri"/>
          <w:bCs/>
          <w:sz w:val="22"/>
          <w:szCs w:val="22"/>
          <w:vertAlign w:val="superscript"/>
          <w:lang w:eastAsia="en-US"/>
        </w:rPr>
        <w:t>3</w:t>
      </w:r>
      <w:r w:rsidRPr="00147893">
        <w:rPr>
          <w:rFonts w:eastAsia="Calibri"/>
          <w:bCs/>
          <w:sz w:val="22"/>
          <w:szCs w:val="22"/>
          <w:lang w:eastAsia="en-US"/>
        </w:rPr>
        <w:t> ciśnienie 200 bar</w:t>
      </w:r>
    </w:p>
    <w:p w14:paraId="0D3E929E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4 zestawienia asortymentowo-cenowego</w:t>
      </w:r>
    </w:p>
    <w:p w14:paraId="348B63C2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Tlen medyczny w butlach aluminiowych  poj. 2 l 0,43 m</w:t>
      </w:r>
      <w:r w:rsidRPr="00147893">
        <w:rPr>
          <w:rFonts w:eastAsia="Calibri"/>
          <w:bCs/>
          <w:sz w:val="22"/>
          <w:szCs w:val="22"/>
          <w:vertAlign w:val="superscript"/>
          <w:lang w:eastAsia="en-US"/>
        </w:rPr>
        <w:t>3</w:t>
      </w:r>
      <w:r w:rsidRPr="00147893">
        <w:rPr>
          <w:rFonts w:eastAsia="Calibri"/>
          <w:bCs/>
          <w:sz w:val="22"/>
          <w:szCs w:val="22"/>
          <w:lang w:eastAsia="en-US"/>
        </w:rPr>
        <w:t> ciśnienie 200 bar</w:t>
      </w:r>
    </w:p>
    <w:p w14:paraId="627ED155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5 zestawienia asortymentowo-cenowego</w:t>
      </w:r>
    </w:p>
    <w:p w14:paraId="36318B23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Podtlenek azotu medyczny w butlach poj. 10 l  7 kg</w:t>
      </w:r>
    </w:p>
    <w:p w14:paraId="25B38EB7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6 zestawienia asortymentowo-cenowego</w:t>
      </w:r>
    </w:p>
    <w:p w14:paraId="7476C384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Mieszanina podtlenek azotu/tlen 50/50 w butli poj. 10 l  2,8 m</w:t>
      </w:r>
      <w:r w:rsidRPr="00147893">
        <w:rPr>
          <w:rFonts w:eastAsia="Calibri"/>
          <w:bCs/>
          <w:sz w:val="22"/>
          <w:szCs w:val="22"/>
          <w:vertAlign w:val="superscript"/>
          <w:lang w:eastAsia="en-US"/>
        </w:rPr>
        <w:t xml:space="preserve">3 </w:t>
      </w:r>
      <w:r w:rsidRPr="00147893">
        <w:rPr>
          <w:rFonts w:eastAsia="Calibri"/>
          <w:bCs/>
          <w:sz w:val="22"/>
          <w:szCs w:val="22"/>
          <w:lang w:eastAsia="en-US"/>
        </w:rPr>
        <w:t>ciśnienie 170 Bar</w:t>
      </w:r>
    </w:p>
    <w:p w14:paraId="0B379245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7 zestawienia asortymentowo-cenowego</w:t>
      </w:r>
    </w:p>
    <w:p w14:paraId="6DF32985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Medyczny dwutlenek węgla do laparoskopii w butlach poj. 10 l 7,5 kg</w:t>
      </w:r>
    </w:p>
    <w:p w14:paraId="248CC5F5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8 zestawienia asortymentowo-cenowego</w:t>
      </w:r>
    </w:p>
    <w:p w14:paraId="47931E8C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Dzierżawa butli tlenowych stalowych poj. 40 oraz 10 l</w:t>
      </w:r>
    </w:p>
    <w:p w14:paraId="7207B2D4" w14:textId="77777777" w:rsidR="00147893" w:rsidRPr="00147893" w:rsidRDefault="00147893" w:rsidP="00147893">
      <w:pPr>
        <w:autoSpaceDE w:val="0"/>
        <w:autoSpaceDN w:val="0"/>
        <w:jc w:val="both"/>
        <w:rPr>
          <w:b/>
          <w:bCs/>
          <w:u w:val="single"/>
        </w:rPr>
      </w:pPr>
      <w:r w:rsidRPr="00147893">
        <w:rPr>
          <w:b/>
          <w:bCs/>
          <w:u w:val="single"/>
        </w:rPr>
        <w:t>Pkt 9 zestawienia asortymentowo-cenowego</w:t>
      </w:r>
    </w:p>
    <w:p w14:paraId="2C646448" w14:textId="77777777" w:rsidR="00147893" w:rsidRPr="00147893" w:rsidRDefault="00147893" w:rsidP="00147893">
      <w:pPr>
        <w:pStyle w:val="Akapitzlist"/>
        <w:autoSpaceDE w:val="0"/>
        <w:autoSpaceDN w:val="0"/>
        <w:jc w:val="both"/>
        <w:rPr>
          <w:rFonts w:ascii="Times New Roman" w:hAnsi="Times New Roman" w:cs="Times New Roman"/>
          <w:bCs/>
        </w:rPr>
      </w:pPr>
      <w:r w:rsidRPr="00147893">
        <w:rPr>
          <w:rFonts w:ascii="Times New Roman" w:hAnsi="Times New Roman" w:cs="Times New Roman"/>
          <w:bCs/>
        </w:rPr>
        <w:t>Aluminiowa butla poj. 2 l do tlenu medycznego z zaworem zintegrowanym z możliwością obliczania pozostałego czasu terapii odpowiednio do ilości gazu znajdującego się w butli i ustawionego natężenia przepływu. Wynik obliczeń wyświetlany jest na dużym czytelnym wyświetlaczu cyfrowym wraz ze wskazaniem poziomu gazu, ustawioną wartością natężenia przepływu oraz ikonami stanu. Wszystkie kluczowe parametry są widoczne jednocześnie, w celu  zwiększenia bezpieczeństwo terapii.</w:t>
      </w:r>
    </w:p>
    <w:p w14:paraId="2267DBF9" w14:textId="77777777" w:rsidR="00147893" w:rsidRPr="00147893" w:rsidRDefault="00147893" w:rsidP="00147893"/>
    <w:p w14:paraId="056EB3AE" w14:textId="77777777" w:rsidR="00147893" w:rsidRPr="00147893" w:rsidRDefault="00147893" w:rsidP="00147893">
      <w:pPr>
        <w:autoSpaceDE w:val="0"/>
        <w:autoSpaceDN w:val="0"/>
        <w:jc w:val="both"/>
      </w:pPr>
      <w:r w:rsidRPr="00147893">
        <w:t xml:space="preserve">Charakterystyka cyfrowego wyświetlacza (w tym minimalne wymagania dot. informacji umieszczonych na wyświetlaczu) oraz innych kluczowych parametrów butli. </w:t>
      </w:r>
    </w:p>
    <w:p w14:paraId="02EFD3FC" w14:textId="77777777" w:rsidR="00147893" w:rsidRPr="00147893" w:rsidRDefault="00147893" w:rsidP="00147893">
      <w:pPr>
        <w:autoSpaceDE w:val="0"/>
        <w:autoSpaceDN w:val="0"/>
        <w:jc w:val="both"/>
      </w:pPr>
    </w:p>
    <w:p w14:paraId="45A41FBF" w14:textId="77777777" w:rsidR="00147893" w:rsidRPr="00147893" w:rsidRDefault="00147893" w:rsidP="00147893">
      <w:r w:rsidRPr="00147893">
        <w:t>Duży czytelny wyświetlacz cyfrowy(ciekłokrystaliczny), stanowiący integralną nierozbieralną cześć zaworu (nie mniejszy niż 3,5 mm x 5,0 mm),</w:t>
      </w:r>
    </w:p>
    <w:p w14:paraId="4462BAE1" w14:textId="77777777" w:rsidR="00147893" w:rsidRPr="00147893" w:rsidRDefault="00147893" w:rsidP="00147893">
      <w:pPr>
        <w:numPr>
          <w:ilvl w:val="0"/>
          <w:numId w:val="3"/>
        </w:numPr>
        <w:suppressAutoHyphens w:val="0"/>
        <w:autoSpaceDE w:val="0"/>
        <w:autoSpaceDN w:val="0"/>
      </w:pPr>
      <w:r w:rsidRPr="00147893">
        <w:t xml:space="preserve">Informacja o czasie, który pozostał do końca tlenoterapii </w:t>
      </w:r>
    </w:p>
    <w:p w14:paraId="1AA82813" w14:textId="77777777" w:rsidR="00147893" w:rsidRPr="00147893" w:rsidRDefault="00147893" w:rsidP="00147893">
      <w:pPr>
        <w:numPr>
          <w:ilvl w:val="0"/>
          <w:numId w:val="3"/>
        </w:numPr>
        <w:suppressAutoHyphens w:val="0"/>
        <w:autoSpaceDE w:val="0"/>
        <w:autoSpaceDN w:val="0"/>
      </w:pPr>
      <w:r w:rsidRPr="00147893">
        <w:t>Wskaźnik słupkowy informujący o poziomie gazu pozostałego w butli (dodatkowy barwny kod :100%-50% zielony, 50%-25% żółty, 25%-0% czerwony) – wyświetlany nawet w przypadku zamknięcia zaworu,</w:t>
      </w:r>
    </w:p>
    <w:p w14:paraId="40162EAE" w14:textId="77777777" w:rsidR="00147893" w:rsidRPr="00147893" w:rsidRDefault="00147893" w:rsidP="00147893">
      <w:pPr>
        <w:numPr>
          <w:ilvl w:val="0"/>
          <w:numId w:val="3"/>
        </w:numPr>
        <w:suppressAutoHyphens w:val="0"/>
        <w:autoSpaceDE w:val="0"/>
        <w:autoSpaceDN w:val="0"/>
      </w:pPr>
      <w:r w:rsidRPr="00147893">
        <w:t>Symbole przepływu i wybranego natężenie przepływu tlenu w litrach /min – wyświetlane jednocześnie;</w:t>
      </w:r>
    </w:p>
    <w:p w14:paraId="2E099185" w14:textId="77777777" w:rsidR="00147893" w:rsidRPr="00147893" w:rsidRDefault="00147893" w:rsidP="00147893">
      <w:pPr>
        <w:numPr>
          <w:ilvl w:val="0"/>
          <w:numId w:val="3"/>
        </w:numPr>
        <w:suppressAutoHyphens w:val="0"/>
        <w:autoSpaceDE w:val="0"/>
        <w:autoSpaceDN w:val="0"/>
      </w:pPr>
      <w:r w:rsidRPr="00147893">
        <w:t xml:space="preserve">Natychmiastowe wskazanie na wyświetlaczu LCD czasu do opróżnienia butli po zmianie wartości przepływu - </w:t>
      </w:r>
      <w:r w:rsidRPr="00147893">
        <w:rPr>
          <w:lang w:eastAsia="pl-PL"/>
        </w:rPr>
        <w:t xml:space="preserve">Wyświetlacz LCD winien w sposób ciągły tj. również w momencie zmiany wartości natężenia przepływu tlenu informować o czasie pozostałym do końca tlenoterapii. </w:t>
      </w:r>
    </w:p>
    <w:p w14:paraId="402059A8" w14:textId="77777777" w:rsidR="00147893" w:rsidRPr="00147893" w:rsidRDefault="00147893" w:rsidP="00147893">
      <w:pPr>
        <w:numPr>
          <w:ilvl w:val="0"/>
          <w:numId w:val="3"/>
        </w:numPr>
        <w:suppressAutoHyphens w:val="0"/>
        <w:autoSpaceDE w:val="0"/>
        <w:autoSpaceDN w:val="0"/>
      </w:pPr>
      <w:r w:rsidRPr="00147893">
        <w:t xml:space="preserve">Łatwe do zdiagnozowania występującego problemu alarmy dźwiękowe i/lub wizualne (bezpośrednio na wyświetlaczu) zapewniające bezpieczeństwo użytkowania i ustawienia przepływu </w:t>
      </w:r>
      <w:r w:rsidRPr="00147893">
        <w:rPr>
          <w:b/>
        </w:rPr>
        <w:t>(Ostrzeżenie o sytuacji krytycznej pojawia się wraz z alarmem)</w:t>
      </w:r>
      <w:r w:rsidRPr="00147893">
        <w:t xml:space="preserve"> :  </w:t>
      </w:r>
    </w:p>
    <w:p w14:paraId="341C60AB" w14:textId="77777777" w:rsidR="00147893" w:rsidRPr="00147893" w:rsidRDefault="00147893" w:rsidP="00147893">
      <w:pPr>
        <w:pStyle w:val="Akapitzlist"/>
        <w:numPr>
          <w:ilvl w:val="0"/>
          <w:numId w:val="4"/>
        </w:numPr>
        <w:autoSpaceDE w:val="0"/>
        <w:autoSpaceDN w:val="0"/>
        <w:rPr>
          <w:rFonts w:ascii="Times New Roman" w:eastAsia="Times New Roman" w:hAnsi="Times New Roman" w:cs="Times New Roman"/>
          <w:sz w:val="20"/>
          <w:szCs w:val="20"/>
        </w:rPr>
      </w:pPr>
      <w:r w:rsidRPr="00147893">
        <w:rPr>
          <w:rFonts w:ascii="Times New Roman" w:eastAsia="Times New Roman" w:hAnsi="Times New Roman" w:cs="Times New Roman"/>
          <w:sz w:val="20"/>
          <w:szCs w:val="20"/>
        </w:rPr>
        <w:t>Butla jest za gorąca – nie używać (min. wizualny);</w:t>
      </w:r>
    </w:p>
    <w:p w14:paraId="3FB54368" w14:textId="77777777" w:rsidR="00147893" w:rsidRPr="00147893" w:rsidRDefault="00147893" w:rsidP="00147893">
      <w:pPr>
        <w:pStyle w:val="Akapitzlist"/>
        <w:numPr>
          <w:ilvl w:val="0"/>
          <w:numId w:val="4"/>
        </w:numPr>
        <w:autoSpaceDE w:val="0"/>
        <w:autoSpaceDN w:val="0"/>
        <w:rPr>
          <w:rFonts w:ascii="Times New Roman" w:eastAsia="Times New Roman" w:hAnsi="Times New Roman" w:cs="Times New Roman"/>
          <w:sz w:val="20"/>
          <w:szCs w:val="20"/>
        </w:rPr>
      </w:pPr>
      <w:r w:rsidRPr="00147893">
        <w:rPr>
          <w:rFonts w:ascii="Times New Roman" w:eastAsia="Times New Roman" w:hAnsi="Times New Roman" w:cs="Times New Roman"/>
          <w:sz w:val="20"/>
          <w:szCs w:val="20"/>
        </w:rPr>
        <w:t>Butla jest za zimna – nie używać (min. wizualny);</w:t>
      </w:r>
    </w:p>
    <w:p w14:paraId="27E7CAF8" w14:textId="77777777" w:rsidR="00147893" w:rsidRPr="00147893" w:rsidRDefault="00147893" w:rsidP="00147893">
      <w:pPr>
        <w:pStyle w:val="Akapitzlist"/>
        <w:numPr>
          <w:ilvl w:val="0"/>
          <w:numId w:val="4"/>
        </w:numPr>
        <w:autoSpaceDE w:val="0"/>
        <w:autoSpaceDN w:val="0"/>
        <w:rPr>
          <w:rFonts w:ascii="Times New Roman" w:eastAsia="Times New Roman" w:hAnsi="Times New Roman" w:cs="Times New Roman"/>
          <w:sz w:val="20"/>
          <w:szCs w:val="20"/>
        </w:rPr>
      </w:pPr>
      <w:r w:rsidRPr="00147893">
        <w:rPr>
          <w:rFonts w:ascii="Times New Roman" w:eastAsia="Times New Roman" w:hAnsi="Times New Roman" w:cs="Times New Roman"/>
          <w:sz w:val="20"/>
          <w:szCs w:val="20"/>
        </w:rPr>
        <w:t>Niski stan baterii (min. wizualny);</w:t>
      </w:r>
    </w:p>
    <w:p w14:paraId="02624BF0" w14:textId="77777777" w:rsidR="00147893" w:rsidRPr="00147893" w:rsidRDefault="00147893" w:rsidP="00147893">
      <w:pPr>
        <w:pStyle w:val="Akapitzlist"/>
        <w:numPr>
          <w:ilvl w:val="0"/>
          <w:numId w:val="4"/>
        </w:numPr>
        <w:autoSpaceDE w:val="0"/>
        <w:autoSpaceDN w:val="0"/>
        <w:rPr>
          <w:rFonts w:ascii="Times New Roman" w:eastAsia="Times New Roman" w:hAnsi="Times New Roman" w:cs="Times New Roman"/>
          <w:sz w:val="20"/>
          <w:szCs w:val="20"/>
        </w:rPr>
      </w:pPr>
      <w:r w:rsidRPr="00147893">
        <w:rPr>
          <w:rFonts w:ascii="Times New Roman" w:eastAsia="Times New Roman" w:hAnsi="Times New Roman" w:cs="Times New Roman"/>
          <w:sz w:val="20"/>
          <w:szCs w:val="20"/>
        </w:rPr>
        <w:lastRenderedPageBreak/>
        <w:t>Zbyt niski przepływ w butli w porównaniu do przepływu ustawionego na wyświetlaczu LCD, (wizualny i dźwiękowy)</w:t>
      </w:r>
    </w:p>
    <w:p w14:paraId="1007E060" w14:textId="77777777" w:rsidR="00147893" w:rsidRPr="00147893" w:rsidRDefault="00147893" w:rsidP="00147893">
      <w:pPr>
        <w:pStyle w:val="Akapitzlist"/>
        <w:numPr>
          <w:ilvl w:val="0"/>
          <w:numId w:val="4"/>
        </w:numPr>
        <w:autoSpaceDE w:val="0"/>
        <w:autoSpaceDN w:val="0"/>
        <w:rPr>
          <w:rFonts w:ascii="Times New Roman" w:eastAsia="Times New Roman" w:hAnsi="Times New Roman" w:cs="Times New Roman"/>
          <w:sz w:val="20"/>
          <w:szCs w:val="20"/>
        </w:rPr>
      </w:pPr>
      <w:r w:rsidRPr="00147893">
        <w:rPr>
          <w:rFonts w:ascii="Times New Roman" w:eastAsia="Times New Roman" w:hAnsi="Times New Roman" w:cs="Times New Roman"/>
          <w:sz w:val="20"/>
          <w:szCs w:val="20"/>
        </w:rPr>
        <w:t>Zbyt wysoki przepływ w butli w porównaniu do przepływu ustawionego na wyświetlaczu LCD, (wizualny i dźwiękowy)</w:t>
      </w:r>
    </w:p>
    <w:p w14:paraId="19378079" w14:textId="77777777" w:rsidR="00147893" w:rsidRPr="00147893" w:rsidRDefault="00147893" w:rsidP="00147893">
      <w:pPr>
        <w:pStyle w:val="Akapitzlist"/>
        <w:numPr>
          <w:ilvl w:val="0"/>
          <w:numId w:val="4"/>
        </w:numPr>
        <w:autoSpaceDE w:val="0"/>
        <w:autoSpaceDN w:val="0"/>
        <w:rPr>
          <w:rFonts w:ascii="Times New Roman" w:eastAsia="Times New Roman" w:hAnsi="Times New Roman" w:cs="Times New Roman"/>
          <w:sz w:val="20"/>
          <w:szCs w:val="20"/>
        </w:rPr>
      </w:pPr>
      <w:r w:rsidRPr="00147893">
        <w:rPr>
          <w:rFonts w:ascii="Times New Roman" w:eastAsia="Times New Roman" w:hAnsi="Times New Roman" w:cs="Times New Roman"/>
          <w:sz w:val="20"/>
          <w:szCs w:val="20"/>
        </w:rPr>
        <w:t>Regulator przepływu jest ustawiony pomiędzy dwiema wartościami przepływu (wizualny i dźwiękowy),</w:t>
      </w:r>
    </w:p>
    <w:p w14:paraId="014851EA" w14:textId="77777777" w:rsidR="00147893" w:rsidRPr="00147893" w:rsidRDefault="00147893" w:rsidP="00147893">
      <w:pPr>
        <w:pStyle w:val="Akapitzlist"/>
        <w:numPr>
          <w:ilvl w:val="0"/>
          <w:numId w:val="4"/>
        </w:numPr>
        <w:autoSpaceDE w:val="0"/>
        <w:autoSpaceDN w:val="0"/>
        <w:rPr>
          <w:rFonts w:ascii="Times New Roman" w:eastAsia="Times New Roman" w:hAnsi="Times New Roman" w:cs="Times New Roman"/>
          <w:sz w:val="20"/>
          <w:szCs w:val="20"/>
        </w:rPr>
      </w:pPr>
      <w:r w:rsidRPr="00147893">
        <w:rPr>
          <w:rFonts w:ascii="Times New Roman" w:eastAsia="Times New Roman" w:hAnsi="Times New Roman" w:cs="Times New Roman"/>
          <w:sz w:val="20"/>
          <w:szCs w:val="20"/>
        </w:rPr>
        <w:t>Silne pole magnetyczne w bezpośrednim sąsiedztwie butli z wyświetlaczem LCD. (min. wizualny)</w:t>
      </w:r>
    </w:p>
    <w:p w14:paraId="4E7B3B13" w14:textId="77777777" w:rsidR="00147893" w:rsidRPr="00147893" w:rsidRDefault="00147893" w:rsidP="00147893">
      <w:pPr>
        <w:pStyle w:val="Akapitzlist"/>
        <w:numPr>
          <w:ilvl w:val="0"/>
          <w:numId w:val="4"/>
        </w:numPr>
        <w:autoSpaceDE w:val="0"/>
        <w:autoSpaceDN w:val="0"/>
        <w:rPr>
          <w:rFonts w:ascii="Times New Roman" w:eastAsia="Times New Roman" w:hAnsi="Times New Roman" w:cs="Times New Roman"/>
          <w:sz w:val="20"/>
          <w:szCs w:val="20"/>
        </w:rPr>
      </w:pPr>
      <w:r w:rsidRPr="00147893">
        <w:rPr>
          <w:rFonts w:ascii="Times New Roman" w:eastAsia="Times New Roman" w:hAnsi="Times New Roman" w:cs="Times New Roman"/>
          <w:sz w:val="20"/>
          <w:szCs w:val="20"/>
        </w:rPr>
        <w:t>Nie włączony główny zawór butli przy jednoczesnym nastawieniu żądanego przepływu gazu  (wizualny i dźwiękowy),</w:t>
      </w:r>
    </w:p>
    <w:p w14:paraId="6896232A" w14:textId="77777777" w:rsidR="00147893" w:rsidRPr="00147893" w:rsidRDefault="00147893" w:rsidP="00147893">
      <w:pPr>
        <w:autoSpaceDE w:val="0"/>
        <w:autoSpaceDN w:val="0"/>
      </w:pPr>
    </w:p>
    <w:p w14:paraId="62CFF0B3" w14:textId="77777777" w:rsidR="00147893" w:rsidRPr="00147893" w:rsidRDefault="00147893" w:rsidP="00147893">
      <w:pPr>
        <w:numPr>
          <w:ilvl w:val="0"/>
          <w:numId w:val="3"/>
        </w:numPr>
        <w:suppressAutoHyphens w:val="0"/>
        <w:autoSpaceDE w:val="0"/>
        <w:autoSpaceDN w:val="0"/>
      </w:pPr>
      <w:r w:rsidRPr="00147893">
        <w:t xml:space="preserve">Alarmy dźwiękowe informujące o zmniejszającym się czasie terapii pozostałym do pełnego opróżnienia butli: </w:t>
      </w:r>
    </w:p>
    <w:p w14:paraId="5E51F930" w14:textId="77777777" w:rsidR="00147893" w:rsidRPr="00147893" w:rsidRDefault="00147893" w:rsidP="00147893">
      <w:pPr>
        <w:autoSpaceDE w:val="0"/>
        <w:autoSpaceDN w:val="0"/>
      </w:pPr>
    </w:p>
    <w:p w14:paraId="09D19170" w14:textId="77777777" w:rsidR="00147893" w:rsidRPr="00147893" w:rsidRDefault="00147893" w:rsidP="00147893">
      <w:pPr>
        <w:pStyle w:val="Akapitzlist"/>
        <w:numPr>
          <w:ilvl w:val="0"/>
          <w:numId w:val="5"/>
        </w:numPr>
        <w:autoSpaceDE w:val="0"/>
        <w:autoSpaceDN w:val="0"/>
        <w:ind w:left="1560" w:hanging="295"/>
        <w:rPr>
          <w:rFonts w:ascii="Times New Roman" w:eastAsia="Times New Roman" w:hAnsi="Times New Roman" w:cs="Times New Roman"/>
          <w:sz w:val="20"/>
          <w:szCs w:val="20"/>
        </w:rPr>
      </w:pPr>
      <w:r w:rsidRPr="00147893">
        <w:rPr>
          <w:rFonts w:ascii="Times New Roman" w:eastAsia="Times New Roman" w:hAnsi="Times New Roman" w:cs="Times New Roman"/>
          <w:sz w:val="20"/>
          <w:szCs w:val="20"/>
        </w:rPr>
        <w:t>Zawartość butli na poziome ¼ pełnej pojemności (wizualny i dźwiękowy),</w:t>
      </w:r>
    </w:p>
    <w:p w14:paraId="47C537D9" w14:textId="77777777" w:rsidR="00147893" w:rsidRPr="00147893" w:rsidRDefault="00147893" w:rsidP="00147893">
      <w:pPr>
        <w:pStyle w:val="Akapitzlist"/>
        <w:numPr>
          <w:ilvl w:val="0"/>
          <w:numId w:val="5"/>
        </w:numPr>
        <w:autoSpaceDE w:val="0"/>
        <w:autoSpaceDN w:val="0"/>
        <w:ind w:left="1560" w:hanging="295"/>
        <w:rPr>
          <w:rFonts w:ascii="Times New Roman" w:eastAsia="Times New Roman" w:hAnsi="Times New Roman" w:cs="Times New Roman"/>
          <w:sz w:val="20"/>
          <w:szCs w:val="20"/>
        </w:rPr>
      </w:pPr>
      <w:r w:rsidRPr="00147893">
        <w:rPr>
          <w:rFonts w:ascii="Times New Roman" w:eastAsia="Times New Roman" w:hAnsi="Times New Roman" w:cs="Times New Roman"/>
          <w:sz w:val="20"/>
          <w:szCs w:val="20"/>
        </w:rPr>
        <w:t>Zawartość butli na poziome ok. 1/8 pełnej pojemności (wizualny i dźwiękowy),;</w:t>
      </w:r>
    </w:p>
    <w:p w14:paraId="73FC6894" w14:textId="77777777" w:rsidR="00147893" w:rsidRPr="00147893" w:rsidRDefault="00147893" w:rsidP="00147893">
      <w:pPr>
        <w:pStyle w:val="Akapitzlist"/>
        <w:numPr>
          <w:ilvl w:val="0"/>
          <w:numId w:val="5"/>
        </w:numPr>
        <w:autoSpaceDE w:val="0"/>
        <w:autoSpaceDN w:val="0"/>
        <w:ind w:left="1560" w:hanging="295"/>
        <w:rPr>
          <w:rFonts w:ascii="Times New Roman" w:eastAsia="Times New Roman" w:hAnsi="Times New Roman" w:cs="Times New Roman"/>
          <w:sz w:val="20"/>
          <w:szCs w:val="20"/>
        </w:rPr>
      </w:pPr>
      <w:r w:rsidRPr="00147893">
        <w:rPr>
          <w:rFonts w:ascii="Times New Roman" w:eastAsia="Times New Roman" w:hAnsi="Times New Roman" w:cs="Times New Roman"/>
          <w:sz w:val="20"/>
          <w:szCs w:val="20"/>
        </w:rPr>
        <w:t>Butla jest całkowicie pusta (inny rodzaj dźwięku niż w innych sygnałach alarmowych).</w:t>
      </w:r>
    </w:p>
    <w:p w14:paraId="3544F36C" w14:textId="77777777" w:rsidR="00147893" w:rsidRPr="00147893" w:rsidRDefault="00147893" w:rsidP="00147893">
      <w:pPr>
        <w:pStyle w:val="Akapitzlist"/>
        <w:autoSpaceDE w:val="0"/>
        <w:autoSpaceDN w:val="0"/>
        <w:ind w:left="1276"/>
        <w:rPr>
          <w:rFonts w:ascii="Times New Roman" w:eastAsia="Times New Roman" w:hAnsi="Times New Roman" w:cs="Times New Roman"/>
          <w:sz w:val="20"/>
          <w:szCs w:val="20"/>
        </w:rPr>
      </w:pPr>
    </w:p>
    <w:p w14:paraId="313B413D" w14:textId="77777777" w:rsidR="00147893" w:rsidRPr="00147893" w:rsidRDefault="00147893" w:rsidP="00147893">
      <w:pPr>
        <w:autoSpaceDE w:val="0"/>
        <w:autoSpaceDN w:val="0"/>
      </w:pPr>
    </w:p>
    <w:p w14:paraId="4942942E" w14:textId="77777777" w:rsidR="00147893" w:rsidRPr="00147893" w:rsidRDefault="00147893" w:rsidP="00147893">
      <w:pPr>
        <w:numPr>
          <w:ilvl w:val="0"/>
          <w:numId w:val="3"/>
        </w:numPr>
        <w:suppressAutoHyphens w:val="0"/>
        <w:autoSpaceDE w:val="0"/>
        <w:autoSpaceDN w:val="0"/>
      </w:pPr>
      <w:r w:rsidRPr="00147893">
        <w:t>Możliwość tymczasowego wyciszania alarmów dźwiękowych,</w:t>
      </w:r>
    </w:p>
    <w:p w14:paraId="1A3B8C71" w14:textId="77777777" w:rsidR="00147893" w:rsidRPr="00147893" w:rsidRDefault="00147893" w:rsidP="00147893">
      <w:pPr>
        <w:pStyle w:val="Akapitzlist"/>
        <w:numPr>
          <w:ilvl w:val="0"/>
          <w:numId w:val="3"/>
        </w:numPr>
        <w:rPr>
          <w:rFonts w:ascii="Times New Roman" w:eastAsia="Times New Roman" w:hAnsi="Times New Roman" w:cs="Times New Roman"/>
          <w:sz w:val="20"/>
          <w:szCs w:val="20"/>
        </w:rPr>
      </w:pPr>
      <w:r w:rsidRPr="00147893">
        <w:rPr>
          <w:rFonts w:ascii="Times New Roman" w:eastAsia="Times New Roman" w:hAnsi="Times New Roman" w:cs="Times New Roman"/>
          <w:sz w:val="20"/>
          <w:szCs w:val="20"/>
        </w:rPr>
        <w:t>Możliwość pracy w polu magnetycznym bez konieczności przerywania podawania gazu,</w:t>
      </w:r>
    </w:p>
    <w:p w14:paraId="79879BD2" w14:textId="77777777" w:rsidR="00147893" w:rsidRPr="00147893" w:rsidRDefault="00147893" w:rsidP="00147893">
      <w:pPr>
        <w:numPr>
          <w:ilvl w:val="0"/>
          <w:numId w:val="3"/>
        </w:numPr>
        <w:suppressAutoHyphens w:val="0"/>
        <w:autoSpaceDE w:val="0"/>
        <w:autoSpaceDN w:val="0"/>
      </w:pPr>
      <w:r w:rsidRPr="00147893">
        <w:rPr>
          <w:lang w:eastAsia="pl-PL"/>
        </w:rPr>
        <w:t xml:space="preserve">Wyświetlacz LCD nie wymagający jakichkolwiek konfiguracji przed użyciem, </w:t>
      </w:r>
    </w:p>
    <w:p w14:paraId="6271C026" w14:textId="77777777" w:rsidR="00147893" w:rsidRPr="00147893" w:rsidRDefault="00147893" w:rsidP="00147893">
      <w:pPr>
        <w:numPr>
          <w:ilvl w:val="0"/>
          <w:numId w:val="3"/>
        </w:numPr>
        <w:suppressAutoHyphens w:val="0"/>
        <w:autoSpaceDE w:val="0"/>
        <w:autoSpaceDN w:val="0"/>
      </w:pPr>
      <w:r w:rsidRPr="00147893">
        <w:rPr>
          <w:lang w:eastAsia="pl-PL"/>
        </w:rPr>
        <w:t xml:space="preserve">Czytelne graficzne oznaczenie na wyświetlaczu butli informujące, że butle nie została użyta/opróżniona w jakikolwiek sposób od momentu jej napełnienia, </w:t>
      </w:r>
    </w:p>
    <w:p w14:paraId="40E54B32" w14:textId="77777777" w:rsidR="00147893" w:rsidRPr="00147893" w:rsidRDefault="00147893" w:rsidP="00147893">
      <w:pPr>
        <w:numPr>
          <w:ilvl w:val="0"/>
          <w:numId w:val="3"/>
        </w:numPr>
        <w:suppressAutoHyphens w:val="0"/>
        <w:autoSpaceDE w:val="0"/>
        <w:autoSpaceDN w:val="0"/>
      </w:pPr>
      <w:r w:rsidRPr="00147893">
        <w:rPr>
          <w:lang w:eastAsia="pl-PL"/>
        </w:rPr>
        <w:t>Zakres przepływu tlenu 0,5 – 25 l / min,</w:t>
      </w:r>
    </w:p>
    <w:p w14:paraId="37828B64" w14:textId="77777777" w:rsidR="00147893" w:rsidRPr="00147893" w:rsidRDefault="00147893" w:rsidP="00147893">
      <w:pPr>
        <w:numPr>
          <w:ilvl w:val="0"/>
          <w:numId w:val="3"/>
        </w:numPr>
        <w:suppressAutoHyphens w:val="0"/>
        <w:autoSpaceDE w:val="0"/>
        <w:autoSpaceDN w:val="0"/>
      </w:pPr>
      <w:r w:rsidRPr="00147893">
        <w:rPr>
          <w:lang w:eastAsia="pl-PL"/>
        </w:rPr>
        <w:t>Co najmniej 12 ustawień pozycji przepływu (w tym pozycja „0”),</w:t>
      </w:r>
    </w:p>
    <w:p w14:paraId="262A4715" w14:textId="77777777" w:rsidR="00147893" w:rsidRPr="00147893" w:rsidRDefault="00147893" w:rsidP="00147893">
      <w:pPr>
        <w:numPr>
          <w:ilvl w:val="0"/>
          <w:numId w:val="3"/>
        </w:numPr>
        <w:suppressAutoHyphens w:val="0"/>
        <w:autoSpaceDE w:val="0"/>
        <w:autoSpaceDN w:val="0"/>
      </w:pPr>
      <w:r w:rsidRPr="00147893">
        <w:t>Waga pełnej butli 2l nie więcej niż 4kg,</w:t>
      </w:r>
    </w:p>
    <w:p w14:paraId="3EF5BC9B" w14:textId="77777777" w:rsidR="00147893" w:rsidRPr="00147893" w:rsidRDefault="00147893" w:rsidP="00147893"/>
    <w:p w14:paraId="74516730" w14:textId="77777777" w:rsidR="00147893" w:rsidRPr="00147893" w:rsidRDefault="00147893" w:rsidP="00147893">
      <w:pPr>
        <w:tabs>
          <w:tab w:val="left" w:pos="567"/>
        </w:tabs>
        <w:suppressAutoHyphens w:val="0"/>
        <w:ind w:left="567"/>
        <w:contextualSpacing/>
        <w:jc w:val="both"/>
        <w:rPr>
          <w:rFonts w:eastAsia="Calibri"/>
          <w:lang w:eastAsia="en-US"/>
        </w:rPr>
      </w:pPr>
      <w:r w:rsidRPr="00147893">
        <w:rPr>
          <w:rFonts w:eastAsia="Calibri"/>
          <w:lang w:eastAsia="en-US"/>
        </w:rPr>
        <w:t>Wykonawca winien dołączyć do oferty folder lub prospekt wraz z opisem i rysunkiem lub zdjęciem oferowanego opakowania bezpośredniego.</w:t>
      </w:r>
    </w:p>
    <w:p w14:paraId="71F09751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</w:p>
    <w:p w14:paraId="35E9FA6F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10 zestawienia asortymentowo-cenowego</w:t>
      </w:r>
    </w:p>
    <w:p w14:paraId="6C393F7A" w14:textId="77777777" w:rsidR="00147893" w:rsidRPr="00147893" w:rsidRDefault="00147893" w:rsidP="00147893">
      <w:pPr>
        <w:tabs>
          <w:tab w:val="left" w:pos="567"/>
        </w:tabs>
        <w:suppressAutoHyphens w:val="0"/>
        <w:ind w:left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147893">
        <w:rPr>
          <w:rFonts w:eastAsia="Calibri"/>
          <w:sz w:val="22"/>
          <w:szCs w:val="22"/>
          <w:lang w:eastAsia="en-US"/>
        </w:rPr>
        <w:t xml:space="preserve">Butla tlenowa aluminiowa z tlenem medycznym o ciśnieniu 200 bar, poj. 2l ,5l litrów z zaworem zintegrowanym stanowiącymi jedną całość tzn. wmontowanym na stałe (zintegrowanym z butlą) modułem wyposażonym w reduktor ciśnienia, manometr wskazujący ciśnienie gazu w butli, przepływomierz, wyjście do podłączenia maski tlenowej lub kaniuli donosowej oraz system szybkiego łączenia typu </w:t>
      </w:r>
      <w:proofErr w:type="spellStart"/>
      <w:r w:rsidRPr="00147893">
        <w:rPr>
          <w:rFonts w:eastAsia="Calibri"/>
          <w:sz w:val="22"/>
          <w:szCs w:val="22"/>
          <w:lang w:eastAsia="en-US"/>
        </w:rPr>
        <w:t>Quick</w:t>
      </w:r>
      <w:proofErr w:type="spellEnd"/>
      <w:r w:rsidRPr="00147893">
        <w:rPr>
          <w:rFonts w:eastAsia="Calibri"/>
          <w:sz w:val="22"/>
          <w:szCs w:val="22"/>
          <w:lang w:eastAsia="en-US"/>
        </w:rPr>
        <w:t xml:space="preserve"> Connector (do podłączenia urządzeń przenośnych wymagających dostarczenia tlenu medycznego – np. respiratora transportowego) wyposażonym w uchwyt do łatwego podnoszenia i przenoszenia butli przez personel medyczny . </w:t>
      </w:r>
    </w:p>
    <w:p w14:paraId="6B450C46" w14:textId="77777777" w:rsidR="00147893" w:rsidRPr="00147893" w:rsidRDefault="00147893" w:rsidP="00147893">
      <w:pPr>
        <w:tabs>
          <w:tab w:val="left" w:pos="567"/>
        </w:tabs>
        <w:suppressAutoHyphens w:val="0"/>
        <w:ind w:left="567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52F4DB6E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11 zestawienia asortymentowo-cenowego</w:t>
      </w:r>
    </w:p>
    <w:p w14:paraId="1692EA7F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Dzierżawa butli do podtlenku azotu stalowych poj. 10 l</w:t>
      </w:r>
    </w:p>
    <w:p w14:paraId="1D3AD451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</w:p>
    <w:p w14:paraId="74EFFA85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12 zestawienia asortymentowo-cenowego</w:t>
      </w:r>
    </w:p>
    <w:p w14:paraId="356AAB04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Dzierżawa butli do dwutlenku węgla medycznego stalowych poj. 10 l</w:t>
      </w:r>
    </w:p>
    <w:p w14:paraId="582F851B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</w:p>
    <w:p w14:paraId="32122FAE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13 zestawienia asortymentowo-cenowego</w:t>
      </w:r>
    </w:p>
    <w:p w14:paraId="7EBBFC00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Dzierżawa butli do mieszanki tlen/podtlenek aluminiowej poj. 10 l z zaworem zintegrowanym</w:t>
      </w:r>
    </w:p>
    <w:p w14:paraId="0CBF8B62" w14:textId="77777777" w:rsidR="00147893" w:rsidRPr="00147893" w:rsidRDefault="00147893" w:rsidP="00147893">
      <w:pPr>
        <w:tabs>
          <w:tab w:val="left" w:pos="567"/>
        </w:tabs>
        <w:suppressAutoHyphens w:val="0"/>
        <w:ind w:left="567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2B52D9FD" w14:textId="77777777" w:rsidR="00147893" w:rsidRPr="00147893" w:rsidRDefault="00147893" w:rsidP="00147893">
      <w:pPr>
        <w:suppressAutoHyphens w:val="0"/>
        <w:autoSpaceDE w:val="0"/>
        <w:autoSpaceDN w:val="0"/>
        <w:adjustRightInd w:val="0"/>
        <w:spacing w:after="71" w:line="360" w:lineRule="auto"/>
        <w:contextualSpacing/>
        <w:jc w:val="both"/>
        <w:rPr>
          <w:rFonts w:eastAsia="Calibri"/>
          <w:b/>
          <w:u w:val="single"/>
          <w:lang w:eastAsia="pl-PL"/>
        </w:rPr>
      </w:pPr>
      <w:r w:rsidRPr="00147893">
        <w:rPr>
          <w:rFonts w:eastAsia="Calibri"/>
          <w:b/>
          <w:u w:val="single"/>
          <w:lang w:eastAsia="pl-PL"/>
        </w:rPr>
        <w:t xml:space="preserve">Pkt 14 </w:t>
      </w:r>
      <w:r w:rsidRPr="00147893">
        <w:rPr>
          <w:rFonts w:eastAsia="Calibri"/>
          <w:b/>
          <w:u w:val="single"/>
          <w:lang w:eastAsia="en-US"/>
        </w:rPr>
        <w:t>zestawienia asortymentowo-cenowego</w:t>
      </w:r>
      <w:r w:rsidRPr="00147893">
        <w:rPr>
          <w:rFonts w:eastAsia="Calibri"/>
          <w:b/>
          <w:u w:val="single"/>
          <w:lang w:eastAsia="pl-PL"/>
        </w:rPr>
        <w:t xml:space="preserve"> – Osprzęt do mieszaniny tlen/podtlenek </w:t>
      </w:r>
    </w:p>
    <w:p w14:paraId="248178E8" w14:textId="77777777" w:rsidR="00147893" w:rsidRPr="00147893" w:rsidRDefault="00147893" w:rsidP="00147893">
      <w:pPr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</w:pPr>
      <w:r w:rsidRPr="00147893">
        <w:t>Zamawiający wymaga, aby zawór dozujący był zaoferowany w opcjach z przewodem o długościach: 3 m, 5 m lub 6 m.</w:t>
      </w:r>
    </w:p>
    <w:p w14:paraId="16082663" w14:textId="77777777" w:rsidR="00147893" w:rsidRPr="00147893" w:rsidRDefault="00147893" w:rsidP="00147893">
      <w:pPr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</w:pPr>
      <w:r w:rsidRPr="00147893">
        <w:lastRenderedPageBreak/>
        <w:t>Zamawiający wymaga, aby zaoferowany zawór dozujący, nie wymagał konieczności dokonywania jego przeglądu i serwisu podczas całego okresu trwania umowy z Zamawiającym.</w:t>
      </w:r>
    </w:p>
    <w:p w14:paraId="51B57017" w14:textId="77777777" w:rsidR="00147893" w:rsidRPr="00147893" w:rsidRDefault="00147893" w:rsidP="00147893">
      <w:pPr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</w:pPr>
      <w:r w:rsidRPr="00147893">
        <w:t xml:space="preserve">Zamawiający wymaga, aby wykonawcy zaoferowali do podawania mieszaniny ustnik zintegrowany </w:t>
      </w:r>
      <w:r w:rsidRPr="00147893">
        <w:br/>
        <w:t>z zaworem wydechowym, uniemożliwiający powrót wydychanego powietrza do zaworu dozującego,  eliminując potencjalne zagrożenie zakażeń bakteryjnych zaworu dozującego.</w:t>
      </w:r>
    </w:p>
    <w:p w14:paraId="389A112D" w14:textId="77777777" w:rsidR="00147893" w:rsidRPr="00147893" w:rsidRDefault="00147893" w:rsidP="00147893">
      <w:pPr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</w:pPr>
      <w:r w:rsidRPr="00147893">
        <w:rPr>
          <w:bCs/>
        </w:rPr>
        <w:t>Zamawiający wymaga, aby urządzenie do podawania mieszaniny wyposażone było w zawór wydechowy jednorazowego użycia nie dopuszczając jednocześnie urządzeń, które trzeba dezynfekować i sterylizować.</w:t>
      </w:r>
    </w:p>
    <w:p w14:paraId="0991B7A1" w14:textId="77777777" w:rsidR="00147893" w:rsidRPr="00147893" w:rsidRDefault="00147893" w:rsidP="00147893">
      <w:pPr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</w:pPr>
      <w:r w:rsidRPr="00147893">
        <w:t xml:space="preserve">Zamawiający wymaga, aby urządzenie </w:t>
      </w:r>
      <w:r w:rsidRPr="00147893">
        <w:rPr>
          <w:bCs/>
        </w:rPr>
        <w:t xml:space="preserve">do podawania mieszaniny, </w:t>
      </w:r>
      <w:r w:rsidRPr="00147893">
        <w:t>które zgodnie z zasadami jego prawidłowego użytkowania i konserwacji zawartymi w instrukcji obsługi producenta, którą Wykonawca winien dołączyć do oferty, nie wymagało ingerencji w strukturę urządzenia polegającej na jego rozłożeniu na części, stwarzając potencjalne zagrożenie obniżenia jego wydajności, uszkodzenia , związanych z tym kosztów naprawy oraz angażuje personel medyczny do wykonywania tych czynności</w:t>
      </w:r>
    </w:p>
    <w:p w14:paraId="363E4B85" w14:textId="77777777" w:rsidR="00147893" w:rsidRPr="00147893" w:rsidRDefault="00147893" w:rsidP="00147893">
      <w:pPr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</w:pPr>
      <w:r w:rsidRPr="00147893">
        <w:t xml:space="preserve">Zamawiający wymaga, aby urządzenie do podawania mieszaniny oraz wszystkie jego części składowe nie zawierały </w:t>
      </w:r>
      <w:proofErr w:type="spellStart"/>
      <w:r w:rsidRPr="00147893">
        <w:t>ftalanów</w:t>
      </w:r>
      <w:proofErr w:type="spellEnd"/>
      <w:r w:rsidRPr="00147893">
        <w:t xml:space="preserve">, na potwierdzenie czego Wykonawca dołączy do oferty certyfikat  lub inny dokument wystawiony przez podmiot uprawniony. </w:t>
      </w:r>
    </w:p>
    <w:p w14:paraId="0EE3F15B" w14:textId="77777777" w:rsidR="00147893" w:rsidRPr="00147893" w:rsidRDefault="00147893" w:rsidP="00147893">
      <w:pPr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</w:pPr>
      <w:r w:rsidRPr="00147893">
        <w:t xml:space="preserve">Zamawiający wymaga, aby Wykonawca w przypadku zaoferowanego zaworu dozującego wskazał jego producenta, nazwę własną, numer katalogowy oraz do dołączył do oferty instrukcję obsługi. </w:t>
      </w:r>
    </w:p>
    <w:p w14:paraId="59AEE0D6" w14:textId="77777777" w:rsidR="00147893" w:rsidRPr="00147893" w:rsidRDefault="00147893" w:rsidP="00147893">
      <w:pPr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</w:pPr>
      <w:r w:rsidRPr="00147893">
        <w:t>Zamawiający w celu zapewnienia całkowitej kompatybilności, szczelności oraz funkcjonalności zestawu  wymaga, aby  zaoferowany zawór dozujący oraz pozostałe części składowe systemu typu maski, filtry, ustniki,  jednorazowe zawory wydechowe pochodziły od jednego producenta.</w:t>
      </w:r>
    </w:p>
    <w:p w14:paraId="24F45519" w14:textId="77777777" w:rsidR="00147893" w:rsidRPr="00147893" w:rsidRDefault="00147893" w:rsidP="00147893"/>
    <w:p w14:paraId="4C717460" w14:textId="77777777" w:rsidR="00147893" w:rsidRPr="00147893" w:rsidRDefault="00147893" w:rsidP="00147893"/>
    <w:p w14:paraId="378A6DFA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  <w:bookmarkStart w:id="0" w:name="_Hlk41381065"/>
      <w:r w:rsidRPr="00147893">
        <w:rPr>
          <w:rFonts w:eastAsia="Calibri"/>
          <w:b/>
          <w:u w:val="single"/>
          <w:lang w:eastAsia="en-US"/>
        </w:rPr>
        <w:t>Pkt. 15 zestawienia asortymentowo-cenowego</w:t>
      </w:r>
    </w:p>
    <w:bookmarkEnd w:id="0"/>
    <w:p w14:paraId="54A9E743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Dzierżawa wózka na butlę  poj. 10 l z kółkami</w:t>
      </w:r>
    </w:p>
    <w:p w14:paraId="1519CE35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</w:p>
    <w:p w14:paraId="1A088B11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16 zestawienia asortymentowo-cenowego</w:t>
      </w:r>
    </w:p>
    <w:p w14:paraId="54CBCD69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lang w:eastAsia="en-US"/>
        </w:rPr>
      </w:pPr>
      <w:r w:rsidRPr="00147893">
        <w:rPr>
          <w:rFonts w:eastAsia="Calibri"/>
          <w:bCs/>
          <w:lang w:eastAsia="en-US"/>
        </w:rPr>
        <w:t>Argon - butle zamawiającego o pojemności 1,6 l</w:t>
      </w:r>
    </w:p>
    <w:p w14:paraId="299424DD" w14:textId="6CC477BC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</w:p>
    <w:p w14:paraId="33570575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</w:p>
    <w:p w14:paraId="2C7924CF" w14:textId="77777777" w:rsidR="00147893" w:rsidRPr="00147893" w:rsidRDefault="00147893" w:rsidP="00147893"/>
    <w:p w14:paraId="7A91CCFE" w14:textId="77777777" w:rsidR="00D65475" w:rsidRPr="00147893" w:rsidRDefault="00D65475" w:rsidP="00147893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</w:p>
    <w:sectPr w:rsidR="00D65475" w:rsidRPr="001478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935DB5"/>
    <w:multiLevelType w:val="hybridMultilevel"/>
    <w:tmpl w:val="86303EB2"/>
    <w:lvl w:ilvl="0" w:tplc="04150009">
      <w:start w:val="1"/>
      <w:numFmt w:val="bullet"/>
      <w:lvlText w:val=""/>
      <w:lvlJc w:val="left"/>
      <w:pPr>
        <w:ind w:left="158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" w15:restartNumberingAfterBreak="0">
    <w:nsid w:val="47F53677"/>
    <w:multiLevelType w:val="hybridMultilevel"/>
    <w:tmpl w:val="2CE48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8D1673"/>
    <w:multiLevelType w:val="hybridMultilevel"/>
    <w:tmpl w:val="E33AC34E"/>
    <w:lvl w:ilvl="0" w:tplc="04150009">
      <w:start w:val="1"/>
      <w:numFmt w:val="bullet"/>
      <w:lvlText w:val=""/>
      <w:lvlJc w:val="left"/>
      <w:pPr>
        <w:ind w:left="19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617B02F3"/>
    <w:multiLevelType w:val="hybridMultilevel"/>
    <w:tmpl w:val="B630FA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D42192"/>
    <w:multiLevelType w:val="hybridMultilevel"/>
    <w:tmpl w:val="4AE6B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6E4"/>
    <w:rsid w:val="00147893"/>
    <w:rsid w:val="005066E4"/>
    <w:rsid w:val="00AB3E12"/>
    <w:rsid w:val="00D6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BAD59"/>
  <w15:docId w15:val="{A856FD05-8A69-49CD-A145-56CD0F69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E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6E4"/>
    <w:pPr>
      <w:suppressAutoHyphens w:val="0"/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1057</Words>
  <Characters>6343</Characters>
  <Application>Microsoft Office Word</Application>
  <DocSecurity>0</DocSecurity>
  <Lines>52</Lines>
  <Paragraphs>14</Paragraphs>
  <ScaleCrop>false</ScaleCrop>
  <Company/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Rafal Dymala</dc:creator>
  <cp:lastModifiedBy>Lidlia Sulica-Tworek</cp:lastModifiedBy>
  <cp:revision>3</cp:revision>
  <dcterms:created xsi:type="dcterms:W3CDTF">2020-05-20T10:34:00Z</dcterms:created>
  <dcterms:modified xsi:type="dcterms:W3CDTF">2020-05-26T08:25:00Z</dcterms:modified>
</cp:coreProperties>
</file>